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6A89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b/>
          <w:bCs/>
          <w:kern w:val="0"/>
          <w:lang w:val="en-GB" w:eastAsia="nl-NL"/>
          <w14:ligatures w14:val="none"/>
        </w:rPr>
        <w:t>Shortened text of Maxim during the webinar of May 2, 2026.</w:t>
      </w: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br/>
        <w:t>Text taken from Maxim’s speech.</w:t>
      </w:r>
    </w:p>
    <w:p w14:paraId="28C8F897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428CCF51">
          <v:rect id="_x0000_i1026" style="width:0;height:1.5pt" o:hralign="center" o:hrstd="t" o:hr="t" fillcolor="#a0a0a0" stroked="f"/>
        </w:pict>
      </w:r>
    </w:p>
    <w:p w14:paraId="40F58535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On the occasion of the launch of the Micron Global Platform, we have prepared three types of bonuses for early partners. Bonus one is valid from April 6 to May 6, 2026.</w:t>
      </w:r>
    </w:p>
    <w:p w14:paraId="26041F9E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If you attract 2, 4, or 8 new investors and they support the project with a financial contribution, they will receive a large amount of future shares in return. The promotion is valid until May 6, 2026.</w:t>
      </w:r>
    </w:p>
    <w:p w14:paraId="073DB051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Each partner earns 20% of the investments made by their first-line partners, regardless of the amount, number of transactions, status, or registration date.</w:t>
      </w:r>
    </w:p>
    <w:p w14:paraId="64A1C494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If you reach a rank within the set time frame, the improved conditions will be permanently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закреплены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 (fixed). These improved conditions mean you receive more payouts from deeper levels. If you miss the deadline, the standard conditions apply for that rank.</w:t>
      </w:r>
    </w:p>
    <w:p w14:paraId="2CFF419A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2EFA27A6">
          <v:rect id="_x0000_i1027" style="width:0;height:1.5pt" o:hralign="center" o:hrstd="t" o:hr="t" fillcolor="#a0a0a0" stroked="f"/>
        </w:pict>
      </w:r>
    </w:p>
    <w:p w14:paraId="578470A2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b/>
          <w:bCs/>
          <w:kern w:val="0"/>
          <w:lang w:val="en-GB" w:eastAsia="nl-NL"/>
          <w14:ligatures w14:val="none"/>
        </w:rPr>
        <w:t>These are the set deadlines:</w:t>
      </w:r>
    </w:p>
    <w:p w14:paraId="0EE1DFD4" w14:textId="77777777" w:rsidR="00F14763" w:rsidRPr="00F14763" w:rsidRDefault="00F14763" w:rsidP="00F14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Agent: 2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months</w:t>
      </w:r>
      <w:proofErr w:type="spellEnd"/>
    </w:p>
    <w:p w14:paraId="0A548DDA" w14:textId="77777777" w:rsidR="00F14763" w:rsidRPr="00F14763" w:rsidRDefault="00F14763" w:rsidP="00F14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Consultant: 4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months</w:t>
      </w:r>
      <w:proofErr w:type="spellEnd"/>
    </w:p>
    <w:p w14:paraId="68D2A2C2" w14:textId="77777777" w:rsidR="00F14763" w:rsidRPr="00F14763" w:rsidRDefault="00F14763" w:rsidP="00F14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Manager: 6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months</w:t>
      </w:r>
      <w:proofErr w:type="spellEnd"/>
    </w:p>
    <w:p w14:paraId="73BAE003" w14:textId="77777777" w:rsidR="00F14763" w:rsidRPr="00F14763" w:rsidRDefault="00F14763" w:rsidP="00F14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Regional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Manager: 9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months</w:t>
      </w:r>
      <w:proofErr w:type="spellEnd"/>
    </w:p>
    <w:p w14:paraId="6330D6BD" w14:textId="77777777" w:rsidR="00F14763" w:rsidRPr="00F14763" w:rsidRDefault="00F14763" w:rsidP="00F14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Top Manager: 12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months</w:t>
      </w:r>
      <w:proofErr w:type="spellEnd"/>
    </w:p>
    <w:p w14:paraId="63AAF00B" w14:textId="77777777" w:rsidR="00F14763" w:rsidRPr="00F14763" w:rsidRDefault="00F14763" w:rsidP="00F14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Director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and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General Director: 15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months</w:t>
      </w:r>
      <w:proofErr w:type="spellEnd"/>
    </w:p>
    <w:p w14:paraId="2FC7B89A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There is also an increased one-time reward for the first partners who reach the highest ranks:</w:t>
      </w:r>
    </w:p>
    <w:p w14:paraId="1C01C749" w14:textId="77777777" w:rsidR="00F14763" w:rsidRPr="00F14763" w:rsidRDefault="00F14763" w:rsidP="00F14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Top Manager: $5,000 instead of $1,500 (first 10 partners)</w:t>
      </w:r>
    </w:p>
    <w:p w14:paraId="0B46FF1C" w14:textId="77777777" w:rsidR="00F14763" w:rsidRPr="00F14763" w:rsidRDefault="00F14763" w:rsidP="00F14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Director: $7,500 instead of $2,500 (5 spots available)</w:t>
      </w:r>
    </w:p>
    <w:p w14:paraId="3DB58281" w14:textId="77777777" w:rsidR="00F14763" w:rsidRPr="00F14763" w:rsidRDefault="00F14763" w:rsidP="00F14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General Director: $15,000 instead of $5,000 (only 3 spots available)</w:t>
      </w:r>
    </w:p>
    <w:p w14:paraId="775C6494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The number of spots is limited. Qualification requirements for each rank are described in the compensation plan.</w:t>
      </w:r>
    </w:p>
    <w:p w14:paraId="2E8B7A2D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4DCFE13F">
          <v:rect id="_x0000_i1028" style="width:0;height:1.5pt" o:hralign="center" o:hrstd="t" o:hr="t" fillcolor="#a0a0a0" stroked="f"/>
        </w:pict>
      </w:r>
    </w:p>
    <w:p w14:paraId="37DAE64B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Today we will also discuss fundamental matters and processes currently taking place within the GTI group, including the latest updates received directly from Dr.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Unitsky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.</w:t>
      </w:r>
    </w:p>
    <w:p w14:paraId="63C18BD5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Many investors have asked questions, made assumptions, and sometimes drawn premature conclusions.</w:t>
      </w:r>
    </w:p>
    <w:p w14:paraId="131E5A40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Let me reassure all investors living, working, or staying in countries currently on a restriction list: </w:t>
      </w:r>
      <w:r w:rsidRPr="00F14763">
        <w:rPr>
          <w:rFonts w:ascii="Times New Roman" w:eastAsia="Times New Roman" w:hAnsi="Times New Roman" w:cs="Times New Roman"/>
          <w:b/>
          <w:bCs/>
          <w:kern w:val="0"/>
          <w:lang w:val="en-GB" w:eastAsia="nl-NL"/>
          <w14:ligatures w14:val="none"/>
        </w:rPr>
        <w:t>do not worry.</w:t>
      </w: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 All GTI Holding investors can register on the Micron Global Platform to receive their payouts.</w:t>
      </w:r>
    </w:p>
    <w:p w14:paraId="0E7903FF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lastRenderedPageBreak/>
        <w:pict w14:anchorId="3B0114D7">
          <v:rect id="_x0000_i1029" style="width:0;height:1.5pt" o:hralign="center" o:hrstd="t" o:hr="t" fillcolor="#a0a0a0" stroked="f"/>
        </w:pict>
      </w:r>
    </w:p>
    <w:p w14:paraId="539B10B2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I will show what the GTI website tells us. Go to GTI Holdings → “News.”</w:t>
      </w: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br/>
        <w:t>Switch to the English version. The news was published on April 30 after the chief designer and creator of the technology informed the community.</w:t>
      </w:r>
    </w:p>
    <w:p w14:paraId="7EDC6C4E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The update states:</w:t>
      </w:r>
    </w:p>
    <w:p w14:paraId="6933DEE6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GTI is exploring the possibility of introducing dividend payouts to investors in 2026. Global Transport Investment Incorporated has entered the practical phase of preparing a payout mechanism as part of its development strategy.</w:t>
      </w:r>
    </w:p>
    <w:p w14:paraId="05FB136C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3389459C">
          <v:rect id="_x0000_i1030" style="width:0;height:1.5pt" o:hralign="center" o:hrstd="t" o:hr="t" fillcolor="#a0a0a0" stroked="f"/>
        </w:pict>
      </w:r>
    </w:p>
    <w:p w14:paraId="0C24BF00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This is part of the GTI development strategy for 2025–2035. Clause seven describes payment plans.</w:t>
      </w:r>
    </w:p>
    <w:p w14:paraId="78C00F48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Key point from clause seven:</w:t>
      </w:r>
    </w:p>
    <w:p w14:paraId="7B172467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GTI is developing a long-term financial strategy aimed at creating conditions for dividend payouts. The first possible payouts may occur no earlier than Q4 2026, depending on financial results.</w:t>
      </w:r>
    </w:p>
    <w:p w14:paraId="41DC8F4F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This date reflects expectations, but actual payouts depend on profitability and operational stability.</w:t>
      </w:r>
    </w:p>
    <w:p w14:paraId="4572A855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344052C8">
          <v:rect id="_x0000_i1031" style="width:0;height:1.5pt" o:hralign="center" o:hrstd="t" o:hr="t" fillcolor="#a0a0a0" stroked="f"/>
        </w:pict>
      </w:r>
    </w:p>
    <w:p w14:paraId="5AB0AE87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Dr.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Unitsky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 outlined three possible scenarios.</w:t>
      </w:r>
    </w:p>
    <w:p w14:paraId="47244F3A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Based on current developments (construction progress in Belarus, contracts in Nepal, etc.), there is confidence in eventual payouts.</w:t>
      </w:r>
    </w:p>
    <w:p w14:paraId="57004A45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Crowdfunding plays a crucial role. Selling shares helps cover operational costs. Continuous funding increases the likelihood of the best-case scenario (scenario three).</w:t>
      </w:r>
    </w:p>
    <w:p w14:paraId="412E2FFA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22B485B8">
          <v:rect id="_x0000_i1032" style="width:0;height:1.5pt" o:hralign="center" o:hrstd="t" o:hr="t" fillcolor="#a0a0a0" stroked="f"/>
        </w:pict>
      </w:r>
    </w:p>
    <w:p w14:paraId="23F36DC7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If sufficient funds are raised:</w:t>
      </w:r>
    </w:p>
    <w:p w14:paraId="4CC72A9B" w14:textId="77777777" w:rsidR="00F14763" w:rsidRPr="00F14763" w:rsidRDefault="00F14763" w:rsidP="00F14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Part goes to payouts to current participants</w:t>
      </w:r>
    </w:p>
    <w:p w14:paraId="0FBA68CF" w14:textId="77777777" w:rsidR="00F14763" w:rsidRPr="00F14763" w:rsidRDefault="00F14763" w:rsidP="00F14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Part goes to a reserve fund for share buybacks (exit strategy before IPO)</w:t>
      </w:r>
    </w:p>
    <w:p w14:paraId="7D538145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Currently, there is </w:t>
      </w:r>
      <w:r w:rsidRPr="00F14763">
        <w:rPr>
          <w:rFonts w:ascii="Times New Roman" w:eastAsia="Times New Roman" w:hAnsi="Times New Roman" w:cs="Times New Roman"/>
          <w:b/>
          <w:bCs/>
          <w:kern w:val="0"/>
          <w:lang w:val="en-GB" w:eastAsia="nl-NL"/>
          <w14:ligatures w14:val="none"/>
        </w:rPr>
        <w:t>no share buyback yet</w:t>
      </w: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—we are still in a growth phase.</w:t>
      </w:r>
    </w:p>
    <w:p w14:paraId="07933D7D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027AAD21">
          <v:rect id="_x0000_i1033" style="width:0;height:1.5pt" o:hralign="center" o:hrstd="t" o:hr="t" fillcolor="#a0a0a0" stroked="f"/>
        </w:pict>
      </w:r>
    </w:p>
    <w:p w14:paraId="36AA9CFB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According to the strategy:</w:t>
      </w:r>
    </w:p>
    <w:p w14:paraId="4A552858" w14:textId="77777777" w:rsidR="00F14763" w:rsidRPr="00F14763" w:rsidRDefault="00F14763" w:rsidP="00F14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Payouts will begin once financial stability is achieved</w:t>
      </w:r>
    </w:p>
    <w:p w14:paraId="3FF985AB" w14:textId="77777777" w:rsidR="00F14763" w:rsidRPr="00F14763" w:rsidRDefault="00F14763" w:rsidP="00F14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lastRenderedPageBreak/>
        <w:t>2026 may see the first payout cycle</w:t>
      </w:r>
    </w:p>
    <w:p w14:paraId="6289D8D2" w14:textId="77777777" w:rsidR="00F14763" w:rsidRPr="00F14763" w:rsidRDefault="00F14763" w:rsidP="00F14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Payments will be made via Micron Global accounts</w:t>
      </w:r>
    </w:p>
    <w:p w14:paraId="5D4FD91D" w14:textId="77777777" w:rsidR="00F14763" w:rsidRPr="00F14763" w:rsidRDefault="00F14763" w:rsidP="00F14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Registration and technical setup will continue until September 2026</w:t>
      </w:r>
    </w:p>
    <w:p w14:paraId="5B490BCB" w14:textId="77777777" w:rsidR="00F14763" w:rsidRPr="00F14763" w:rsidRDefault="00F14763" w:rsidP="00F14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Details will be announced at Eco Fest (autumn 2026)</w:t>
      </w:r>
    </w:p>
    <w:p w14:paraId="1C5657EB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375070D4">
          <v:rect id="_x0000_i1034" style="width:0;height:1.5pt" o:hralign="center" o:hrstd="t" o:hr="t" fillcolor="#a0a0a0" stroked="f"/>
        </w:pict>
      </w:r>
    </w:p>
    <w:p w14:paraId="37779ECC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proofErr w:type="spellStart"/>
      <w:r w:rsidRPr="00F14763">
        <w:rPr>
          <w:rFonts w:ascii="Times New Roman" w:eastAsia="Times New Roman" w:hAnsi="Times New Roman" w:cs="Times New Roman"/>
          <w:b/>
          <w:bCs/>
          <w:kern w:val="0"/>
          <w:lang w:eastAsia="nl-NL"/>
          <w14:ligatures w14:val="none"/>
        </w:rPr>
        <w:t>Payout</w:t>
      </w:r>
      <w:proofErr w:type="spellEnd"/>
      <w:r w:rsidRPr="00F14763">
        <w:rPr>
          <w:rFonts w:ascii="Times New Roman" w:eastAsia="Times New Roman" w:hAnsi="Times New Roman" w:cs="Times New Roman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F14763">
        <w:rPr>
          <w:rFonts w:ascii="Times New Roman" w:eastAsia="Times New Roman" w:hAnsi="Times New Roman" w:cs="Times New Roman"/>
          <w:b/>
          <w:bCs/>
          <w:kern w:val="0"/>
          <w:lang w:eastAsia="nl-NL"/>
          <w14:ligatures w14:val="none"/>
        </w:rPr>
        <w:t>schedule</w:t>
      </w:r>
      <w:proofErr w:type="spellEnd"/>
      <w:r w:rsidRPr="00F14763">
        <w:rPr>
          <w:rFonts w:ascii="Times New Roman" w:eastAsia="Times New Roman" w:hAnsi="Times New Roman" w:cs="Times New Roman"/>
          <w:b/>
          <w:bCs/>
          <w:kern w:val="0"/>
          <w:lang w:eastAsia="nl-NL"/>
          <w14:ligatures w14:val="none"/>
        </w:rPr>
        <w:t xml:space="preserve"> (</w:t>
      </w:r>
      <w:proofErr w:type="spellStart"/>
      <w:r w:rsidRPr="00F14763">
        <w:rPr>
          <w:rFonts w:ascii="Times New Roman" w:eastAsia="Times New Roman" w:hAnsi="Times New Roman" w:cs="Times New Roman"/>
          <w:b/>
          <w:bCs/>
          <w:kern w:val="0"/>
          <w:lang w:eastAsia="nl-NL"/>
          <w14:ligatures w14:val="none"/>
        </w:rPr>
        <w:t>tentative</w:t>
      </w:r>
      <w:proofErr w:type="spellEnd"/>
      <w:r w:rsidRPr="00F14763">
        <w:rPr>
          <w:rFonts w:ascii="Times New Roman" w:eastAsia="Times New Roman" w:hAnsi="Times New Roman" w:cs="Times New Roman"/>
          <w:b/>
          <w:bCs/>
          <w:kern w:val="0"/>
          <w:lang w:eastAsia="nl-NL"/>
          <w14:ligatures w14:val="none"/>
        </w:rPr>
        <w:t>):</w:t>
      </w:r>
    </w:p>
    <w:p w14:paraId="0313DC71" w14:textId="77777777" w:rsidR="00F14763" w:rsidRPr="00F14763" w:rsidRDefault="00F14763" w:rsidP="00F147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October: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investors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from 2014–2018</w:t>
      </w:r>
    </w:p>
    <w:p w14:paraId="2BFC96D8" w14:textId="77777777" w:rsidR="00F14763" w:rsidRPr="00F14763" w:rsidRDefault="00F14763" w:rsidP="00F147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November: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investors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from 2019–2022</w:t>
      </w:r>
    </w:p>
    <w:p w14:paraId="1433B45D" w14:textId="77777777" w:rsidR="00F14763" w:rsidRPr="00F14763" w:rsidRDefault="00F14763" w:rsidP="00F147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December: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investors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from 2022–2026</w:t>
      </w:r>
    </w:p>
    <w:p w14:paraId="1E9B20BD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Registration before September 2026 is crucial.</w:t>
      </w:r>
    </w:p>
    <w:p w14:paraId="4043BB0B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24054472">
          <v:rect id="_x0000_i1035" style="width:0;height:1.5pt" o:hralign="center" o:hrstd="t" o:hr="t" fillcolor="#a0a0a0" stroked="f"/>
        </w:pict>
      </w:r>
    </w:p>
    <w:p w14:paraId="016B5A4F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Investors in restricted countries can still register and receive payouts (without participating in marketing activities).</w:t>
      </w:r>
    </w:p>
    <w:p w14:paraId="0E743CDA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791F8235">
          <v:rect id="_x0000_i1036" style="width:0;height:1.5pt" o:hralign="center" o:hrstd="t" o:hr="t" fillcolor="#a0a0a0" stroked="f"/>
        </w:pict>
      </w:r>
    </w:p>
    <w:p w14:paraId="1C4F3ADC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GTI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clarified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:</w:t>
      </w:r>
    </w:p>
    <w:p w14:paraId="2691C9BA" w14:textId="77777777" w:rsidR="00F14763" w:rsidRPr="00F14763" w:rsidRDefault="00F14763" w:rsidP="00F147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Obligations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to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investors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remain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unchanged</w:t>
      </w:r>
      <w:proofErr w:type="spellEnd"/>
    </w:p>
    <w:p w14:paraId="41F49E74" w14:textId="77777777" w:rsidR="00F14763" w:rsidRPr="00F14763" w:rsidRDefault="00F14763" w:rsidP="00F147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Ending cooperation with SWIG does not affect investor rights</w:t>
      </w:r>
    </w:p>
    <w:p w14:paraId="606F9AF9" w14:textId="77777777" w:rsidR="00F14763" w:rsidRPr="00F14763" w:rsidRDefault="00F14763" w:rsidP="00F147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SWIG was only a technical intermediary</w:t>
      </w:r>
    </w:p>
    <w:p w14:paraId="349927E9" w14:textId="77777777" w:rsidR="00F14763" w:rsidRPr="00F14763" w:rsidRDefault="00F14763" w:rsidP="00F147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Micron Global now replaces its functions</w:t>
      </w:r>
    </w:p>
    <w:p w14:paraId="729CED3C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The goal is improved transparency, security, and centralized processes.</w:t>
      </w:r>
    </w:p>
    <w:p w14:paraId="0945FD9A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48D31F51">
          <v:rect id="_x0000_i1037" style="width:0;height:1.5pt" o:hralign="center" o:hrstd="t" o:hr="t" fillcolor="#a0a0a0" stroked="f"/>
        </w:pict>
      </w:r>
    </w:p>
    <w:p w14:paraId="5D1EB883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In simple terms:</w:t>
      </w:r>
    </w:p>
    <w:p w14:paraId="7E9962EF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GTI has obligations to investors—not SWIG.</w:t>
      </w: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br/>
        <w:t>Switching platforms does not change those obligations.</w:t>
      </w:r>
    </w:p>
    <w:p w14:paraId="5D7579DC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66654E33">
          <v:rect id="_x0000_i1038" style="width:0;height:1.5pt" o:hralign="center" o:hrstd="t" o:hr="t" fillcolor="#a0a0a0" stroked="f"/>
        </w:pict>
      </w:r>
    </w:p>
    <w:p w14:paraId="7ED0E3AE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Micron Global is not a broker but a platform providing infrastructure.</w:t>
      </w:r>
    </w:p>
    <w:p w14:paraId="2EBB8698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RSW Systems is outdated and cannot support required functionality.</w:t>
      </w:r>
    </w:p>
    <w:p w14:paraId="6B273CC6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5775EA52">
          <v:rect id="_x0000_i1039" style="width:0;height:1.5pt" o:hralign="center" o:hrstd="t" o:hr="t" fillcolor="#a0a0a0" stroked="f"/>
        </w:pict>
      </w:r>
    </w:p>
    <w:p w14:paraId="5B5363AD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You have several months to:</w:t>
      </w:r>
    </w:p>
    <w:p w14:paraId="2923C57B" w14:textId="77777777" w:rsidR="00F14763" w:rsidRPr="00F14763" w:rsidRDefault="00F14763" w:rsidP="00F147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Register</w:t>
      </w:r>
    </w:p>
    <w:p w14:paraId="5C5BCD28" w14:textId="77777777" w:rsidR="00F14763" w:rsidRPr="00F14763" w:rsidRDefault="00F14763" w:rsidP="00F147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Verify accounts</w:t>
      </w:r>
    </w:p>
    <w:p w14:paraId="48DA70B1" w14:textId="77777777" w:rsidR="00F14763" w:rsidRPr="00F14763" w:rsidRDefault="00F14763" w:rsidP="00F147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lastRenderedPageBreak/>
        <w:t>Synchronize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data</w:t>
      </w:r>
    </w:p>
    <w:p w14:paraId="7F22051F" w14:textId="77777777" w:rsidR="00F14763" w:rsidRPr="00F14763" w:rsidRDefault="00F14763" w:rsidP="00F147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Inform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partners</w:t>
      </w:r>
    </w:p>
    <w:p w14:paraId="572B79C3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61AB25ED">
          <v:rect id="_x0000_i1040" style="width:0;height:1.5pt" o:hralign="center" o:hrstd="t" o:hr="t" fillcolor="#a0a0a0" stroked="f"/>
        </w:pict>
      </w:r>
    </w:p>
    <w:p w14:paraId="39EAFF4A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Regarding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 xml:space="preserve">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payments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:</w:t>
      </w:r>
    </w:p>
    <w:p w14:paraId="07507E5F" w14:textId="77777777" w:rsidR="00F14763" w:rsidRPr="00F14763" w:rsidRDefault="00F14763" w:rsidP="00F147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Full bank card support is not yet available due to regulatory reasons</w:t>
      </w:r>
    </w:p>
    <w:p w14:paraId="360CB6BD" w14:textId="77777777" w:rsidR="00F14763" w:rsidRPr="00F14763" w:rsidRDefault="00F14763" w:rsidP="00F147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PayPal is used as an alternative</w:t>
      </w:r>
    </w:p>
    <w:p w14:paraId="20CB3B4A" w14:textId="77777777" w:rsidR="00F14763" w:rsidRPr="00F14763" w:rsidRDefault="00F14763" w:rsidP="00F147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Card support is planned for the future</w:t>
      </w:r>
    </w:p>
    <w:p w14:paraId="2FAE5C6D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7DDAE2A4">
          <v:rect id="_x0000_i1041" style="width:0;height:1.5pt" o:hralign="center" o:hrstd="t" o:hr="t" fillcolor="#a0a0a0" stroked="f"/>
        </w:pict>
      </w:r>
    </w:p>
    <w:p w14:paraId="4F1C9392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Next meeting: May 7.</w:t>
      </w:r>
    </w:p>
    <w:p w14:paraId="165616F1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More details about </w:t>
      </w:r>
      <w:proofErr w:type="spellStart"/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EcoFest</w:t>
      </w:r>
      <w:proofErr w:type="spellEnd"/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 and future events will be shared.</w:t>
      </w:r>
    </w:p>
    <w:p w14:paraId="7FBAD94A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51359CD9">
          <v:rect id="_x0000_i1042" style="width:0;height:1.5pt" o:hralign="center" o:hrstd="t" o:hr="t" fillcolor="#a0a0a0" stroked="f"/>
        </w:pict>
      </w:r>
    </w:p>
    <w:p w14:paraId="3E2EDF7F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This year is expected to be a breakthrough year for GTI and crowdfunding, with growing investor interest and expanding activities.</w:t>
      </w:r>
    </w:p>
    <w:p w14:paraId="2740EF78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10CF00A2">
          <v:rect id="_x0000_i1043" style="width:0;height:1.5pt" o:hralign="center" o:hrstd="t" o:hr="t" fillcolor="#a0a0a0" stroked="f"/>
        </w:pict>
      </w:r>
    </w:p>
    <w:p w14:paraId="012F8A64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b/>
          <w:bCs/>
          <w:kern w:val="0"/>
          <w:lang w:val="en-GB" w:eastAsia="nl-NL"/>
          <w14:ligatures w14:val="none"/>
        </w:rPr>
        <w:t>Conclusion:</w:t>
      </w:r>
    </w:p>
    <w:p w14:paraId="17DCCFDC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>This opportunity, with the right approach, can become a significant source of income. The question is whether to actively participate or remain on the sidelines.</w:t>
      </w:r>
    </w:p>
    <w:p w14:paraId="0D1EE0E0" w14:textId="77777777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pict w14:anchorId="70580B7C">
          <v:rect id="_x0000_i1044" style="width:0;height:1.5pt" o:hralign="center" o:hrstd="t" o:hr="t" fillcolor="#a0a0a0" stroked="f"/>
        </w:pict>
      </w:r>
    </w:p>
    <w:p w14:paraId="74A5A7F5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</w:pPr>
      <w:r w:rsidRPr="00F14763">
        <w:rPr>
          <w:rFonts w:ascii="Times New Roman" w:eastAsia="Times New Roman" w:hAnsi="Times New Roman" w:cs="Times New Roman"/>
          <w:b/>
          <w:bCs/>
          <w:kern w:val="0"/>
          <w:lang w:val="en-GB" w:eastAsia="nl-NL"/>
          <w14:ligatures w14:val="none"/>
        </w:rPr>
        <w:t>Next webinar:</w:t>
      </w:r>
      <w:r w:rsidRPr="00F14763">
        <w:rPr>
          <w:rFonts w:ascii="Times New Roman" w:eastAsia="Times New Roman" w:hAnsi="Times New Roman" w:cs="Times New Roman"/>
          <w:kern w:val="0"/>
          <w:lang w:val="en-GB" w:eastAsia="nl-NL"/>
          <w14:ligatures w14:val="none"/>
        </w:rPr>
        <w:t xml:space="preserve"> May 7 at 18:00 (Minsk time)</w:t>
      </w:r>
    </w:p>
    <w:p w14:paraId="12295B81" w14:textId="77777777" w:rsidR="00F14763" w:rsidRPr="00F14763" w:rsidRDefault="00F14763" w:rsidP="00F14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proofErr w:type="spellStart"/>
      <w:r w:rsidRPr="00F14763">
        <w:rPr>
          <w:rFonts w:ascii="Times New Roman" w:eastAsia="Times New Roman" w:hAnsi="Times New Roman" w:cs="Times New Roman"/>
          <w:b/>
          <w:bCs/>
          <w:kern w:val="0"/>
          <w:lang w:eastAsia="nl-NL"/>
          <w14:ligatures w14:val="none"/>
        </w:rPr>
        <w:t>Goodbye</w:t>
      </w:r>
      <w:proofErr w:type="spellEnd"/>
      <w:r w:rsidRPr="00F14763">
        <w:rPr>
          <w:rFonts w:ascii="Times New Roman" w:eastAsia="Times New Roman" w:hAnsi="Times New Roman" w:cs="Times New Roman"/>
          <w:b/>
          <w:bCs/>
          <w:kern w:val="0"/>
          <w:lang w:eastAsia="nl-NL"/>
          <w14:ligatures w14:val="none"/>
        </w:rPr>
        <w:t>!</w:t>
      </w:r>
    </w:p>
    <w:p w14:paraId="7A60D3A0" w14:textId="4787710C" w:rsidR="00F14763" w:rsidRPr="00F14763" w:rsidRDefault="00F14763" w:rsidP="00F147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p w14:paraId="74C651DE" w14:textId="77777777" w:rsidR="00491C46" w:rsidRPr="00F14763" w:rsidRDefault="00491C46">
      <w:pPr>
        <w:rPr>
          <w:lang w:val="en-GB"/>
        </w:rPr>
      </w:pPr>
    </w:p>
    <w:sectPr w:rsidR="00491C46" w:rsidRPr="00F14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1981"/>
    <w:multiLevelType w:val="multilevel"/>
    <w:tmpl w:val="2AE0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4E58"/>
    <w:multiLevelType w:val="multilevel"/>
    <w:tmpl w:val="B59A4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74F0E"/>
    <w:multiLevelType w:val="multilevel"/>
    <w:tmpl w:val="35705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E542A"/>
    <w:multiLevelType w:val="multilevel"/>
    <w:tmpl w:val="28D6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968AB"/>
    <w:multiLevelType w:val="multilevel"/>
    <w:tmpl w:val="5348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234379"/>
    <w:multiLevelType w:val="multilevel"/>
    <w:tmpl w:val="5380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954096"/>
    <w:multiLevelType w:val="multilevel"/>
    <w:tmpl w:val="E670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F60C17"/>
    <w:multiLevelType w:val="multilevel"/>
    <w:tmpl w:val="F55A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B10D09"/>
    <w:multiLevelType w:val="multilevel"/>
    <w:tmpl w:val="B2D0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326806">
    <w:abstractNumId w:val="8"/>
  </w:num>
  <w:num w:numId="2" w16cid:durableId="85999717">
    <w:abstractNumId w:val="5"/>
  </w:num>
  <w:num w:numId="3" w16cid:durableId="857163741">
    <w:abstractNumId w:val="2"/>
  </w:num>
  <w:num w:numId="4" w16cid:durableId="208733598">
    <w:abstractNumId w:val="4"/>
  </w:num>
  <w:num w:numId="5" w16cid:durableId="1663702914">
    <w:abstractNumId w:val="3"/>
  </w:num>
  <w:num w:numId="6" w16cid:durableId="1306622506">
    <w:abstractNumId w:val="0"/>
  </w:num>
  <w:num w:numId="7" w16cid:durableId="96751304">
    <w:abstractNumId w:val="6"/>
  </w:num>
  <w:num w:numId="8" w16cid:durableId="206381377">
    <w:abstractNumId w:val="1"/>
  </w:num>
  <w:num w:numId="9" w16cid:durableId="1099055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63"/>
    <w:rsid w:val="00491C46"/>
    <w:rsid w:val="009B72E0"/>
    <w:rsid w:val="009B7628"/>
    <w:rsid w:val="00F1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A2E5"/>
  <w15:chartTrackingRefBased/>
  <w15:docId w15:val="{7DE399D0-0A07-4519-B050-258E0C3C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4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4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4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4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4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4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4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4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4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4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4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4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476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476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47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47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47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47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4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4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4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4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4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47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47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476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4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476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47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804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Neeleman</dc:creator>
  <cp:keywords/>
  <dc:description/>
  <cp:lastModifiedBy>L Neeleman</cp:lastModifiedBy>
  <cp:revision>1</cp:revision>
  <dcterms:created xsi:type="dcterms:W3CDTF">2026-05-04T07:29:00Z</dcterms:created>
  <dcterms:modified xsi:type="dcterms:W3CDTF">2026-05-04T07:30:00Z</dcterms:modified>
</cp:coreProperties>
</file>